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07F79D77" w:rsidR="00582A54" w:rsidRPr="002252C3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b w:val="0"/>
          <w:bCs/>
          <w:i w:val="0"/>
          <w:iCs/>
          <w:sz w:val="23"/>
          <w:szCs w:val="23"/>
        </w:rPr>
      </w:pPr>
      <w:bookmarkStart w:id="0" w:name="RefSCH13"/>
      <w:bookmarkStart w:id="1" w:name="_Toc515354103"/>
      <w:r w:rsidRPr="002252C3">
        <w:rPr>
          <w:b w:val="0"/>
          <w:bCs/>
          <w:i w:val="0"/>
          <w:iCs/>
          <w:sz w:val="23"/>
          <w:szCs w:val="23"/>
        </w:rPr>
        <w:t xml:space="preserve">Приложение </w:t>
      </w:r>
      <w:bookmarkStart w:id="2" w:name="RefSCH13_No"/>
      <w:r w:rsidRPr="002252C3">
        <w:rPr>
          <w:b w:val="0"/>
          <w:bCs/>
          <w:i w:val="0"/>
          <w:iCs/>
          <w:sz w:val="23"/>
          <w:szCs w:val="23"/>
        </w:rPr>
        <w:t>№</w:t>
      </w:r>
      <w:bookmarkEnd w:id="0"/>
      <w:bookmarkEnd w:id="1"/>
      <w:bookmarkEnd w:id="2"/>
      <w:r w:rsidR="00AE5BAD" w:rsidRPr="002252C3">
        <w:rPr>
          <w:b w:val="0"/>
          <w:bCs/>
          <w:i w:val="0"/>
          <w:iCs/>
          <w:sz w:val="23"/>
          <w:szCs w:val="23"/>
        </w:rPr>
        <w:t>8</w:t>
      </w:r>
      <w:r w:rsidR="009D642B" w:rsidRPr="002252C3">
        <w:rPr>
          <w:b w:val="0"/>
          <w:bCs/>
          <w:i w:val="0"/>
          <w:iCs/>
          <w:sz w:val="23"/>
          <w:szCs w:val="23"/>
        </w:rPr>
        <w:t xml:space="preserve"> к договору №   </w:t>
      </w:r>
      <w:r w:rsidR="00C97457" w:rsidRPr="002252C3">
        <w:rPr>
          <w:b w:val="0"/>
          <w:bCs/>
          <w:i w:val="0"/>
          <w:iCs/>
          <w:sz w:val="23"/>
          <w:szCs w:val="23"/>
        </w:rPr>
        <w:t xml:space="preserve">                     от ____________</w:t>
      </w:r>
      <w:bookmarkStart w:id="3" w:name="RefSCH13_1"/>
      <w:r w:rsidR="00F243B8" w:rsidRPr="002252C3">
        <w:rPr>
          <w:b w:val="0"/>
          <w:bCs/>
          <w:i w:val="0"/>
          <w:iCs/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472A8608" w:rsidR="006824E3" w:rsidRPr="008E49E5" w:rsidRDefault="005D7846" w:rsidP="008E49E5">
      <w:pPr>
        <w:spacing w:after="120"/>
        <w:ind w:right="-1"/>
        <w:jc w:val="both"/>
        <w:rPr>
          <w:sz w:val="23"/>
          <w:szCs w:val="23"/>
        </w:rPr>
      </w:pPr>
      <w:r w:rsidRPr="005D7846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D7846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D7846">
        <w:rPr>
          <w:b/>
          <w:sz w:val="23"/>
          <w:szCs w:val="23"/>
        </w:rPr>
        <w:t>«Заказчик»</w:t>
      </w:r>
      <w:r w:rsidRPr="005D7846">
        <w:rPr>
          <w:sz w:val="23"/>
          <w:szCs w:val="23"/>
        </w:rPr>
        <w:t>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5F2E77">
        <w:rPr>
          <w:sz w:val="23"/>
          <w:szCs w:val="23"/>
        </w:rPr>
        <w:t>162 от 01.04.2024</w:t>
      </w:r>
      <w:r w:rsidRPr="005D7846">
        <w:rPr>
          <w:sz w:val="23"/>
          <w:szCs w:val="23"/>
        </w:rPr>
        <w:t xml:space="preserve"> г., </w:t>
      </w:r>
      <w:r w:rsidR="006824E3" w:rsidRPr="008E49E5">
        <w:rPr>
          <w:sz w:val="23"/>
          <w:szCs w:val="23"/>
        </w:rPr>
        <w:t xml:space="preserve">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>», в лице директора                                        ,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   </w:t>
      </w:r>
      <w:r w:rsidRPr="008E49E5">
        <w:rPr>
          <w:sz w:val="23"/>
          <w:szCs w:val="23"/>
        </w:rPr>
        <w:t>(далее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3FAC10CB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0F3BCA">
        <w:rPr>
          <w:sz w:val="22"/>
          <w:szCs w:val="22"/>
        </w:rPr>
        <w:t>;</w:t>
      </w:r>
    </w:p>
    <w:p w14:paraId="123A1ECB" w14:textId="5F2689AA" w:rsidR="000F3BCA" w:rsidRDefault="000F3BCA" w:rsidP="000F3BCA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D7846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647C2A21" w14:textId="77777777" w:rsidR="00354CE5" w:rsidRDefault="00354CE5" w:rsidP="00354CE5">
      <w:pPr>
        <w:pStyle w:val="a8"/>
        <w:tabs>
          <w:tab w:val="left" w:pos="1080"/>
        </w:tabs>
        <w:spacing w:after="0"/>
        <w:ind w:left="720"/>
        <w:rPr>
          <w:b w:val="0"/>
          <w:i w:val="0"/>
          <w:color w:val="auto"/>
        </w:rPr>
      </w:pP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</w:t>
      </w:r>
      <w:r w:rsidRPr="008E49E5">
        <w:rPr>
          <w:sz w:val="22"/>
          <w:szCs w:val="22"/>
        </w:rPr>
        <w:lastRenderedPageBreak/>
        <w:t>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</w:t>
      </w:r>
      <w:r w:rsidRPr="008E49E5">
        <w:rPr>
          <w:sz w:val="22"/>
          <w:szCs w:val="22"/>
        </w:rPr>
        <w:lastRenderedPageBreak/>
        <w:t>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6.8 Ответственность в виде неустойки, предусмотренной в п. 6.6. и 6.7. Соглашения </w:t>
      </w:r>
      <w:r w:rsidRPr="008E49E5">
        <w:rPr>
          <w:sz w:val="23"/>
          <w:szCs w:val="23"/>
        </w:rPr>
        <w:lastRenderedPageBreak/>
        <w:t>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опасных зон проведения работ, несоответствующее освещение, 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</w:t>
            </w:r>
            <w:r w:rsidRPr="008E49E5">
              <w:rPr>
                <w:iCs/>
                <w:sz w:val="22"/>
                <w:szCs w:val="22"/>
                <w:lang w:eastAsia="en-US"/>
              </w:rPr>
              <w:lastRenderedPageBreak/>
              <w:t>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 xml:space="preserve"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</w:t>
            </w:r>
            <w:r w:rsidRPr="008E49E5">
              <w:rPr>
                <w:sz w:val="22"/>
                <w:szCs w:val="22"/>
              </w:rPr>
              <w:lastRenderedPageBreak/>
              <w:t>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lastRenderedPageBreak/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2F5F8962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>риложение № 1 к Приложению №</w:t>
      </w:r>
      <w:r w:rsidR="00AE5BAD">
        <w:t>8</w:t>
      </w:r>
      <w:r w:rsidR="005D7846">
        <w:t xml:space="preserve"> </w:t>
      </w:r>
      <w:r w:rsidR="004F2F24" w:rsidRPr="008E49E5">
        <w:t xml:space="preserve">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_________от  «____»___________20___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«     » ____________ 20___г.  ___:__ч.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Обстоятельства, причины отказа:__________________________________________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4D62AA04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8A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7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0F3BCA"/>
    <w:rsid w:val="00113ACE"/>
    <w:rsid w:val="001662C9"/>
    <w:rsid w:val="002252C3"/>
    <w:rsid w:val="002B3385"/>
    <w:rsid w:val="00343D9B"/>
    <w:rsid w:val="00354CE5"/>
    <w:rsid w:val="003F324A"/>
    <w:rsid w:val="0040493B"/>
    <w:rsid w:val="00423430"/>
    <w:rsid w:val="0045178F"/>
    <w:rsid w:val="004D10C9"/>
    <w:rsid w:val="004F2F24"/>
    <w:rsid w:val="00582A54"/>
    <w:rsid w:val="005D7846"/>
    <w:rsid w:val="005F2E77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B348A"/>
    <w:rsid w:val="009D642B"/>
    <w:rsid w:val="00A052D8"/>
    <w:rsid w:val="00A0741C"/>
    <w:rsid w:val="00A07448"/>
    <w:rsid w:val="00A25F8D"/>
    <w:rsid w:val="00A27C36"/>
    <w:rsid w:val="00A57792"/>
    <w:rsid w:val="00AE5BAD"/>
    <w:rsid w:val="00B64894"/>
    <w:rsid w:val="00B86778"/>
    <w:rsid w:val="00B92804"/>
    <w:rsid w:val="00BF0AE4"/>
    <w:rsid w:val="00C97457"/>
    <w:rsid w:val="00CA2C1C"/>
    <w:rsid w:val="00EB77B8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18</Pages>
  <Words>6999</Words>
  <Characters>39897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27</cp:revision>
  <dcterms:created xsi:type="dcterms:W3CDTF">2021-09-22T08:09:00Z</dcterms:created>
  <dcterms:modified xsi:type="dcterms:W3CDTF">2024-05-03T06:35:00Z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